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2"/>
        <w:pBdr/>
        <w:spacing w:after="0" w:line="240" w:lineRule="auto"/>
        <w:ind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Уведомление об информировании до заключения договора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tbl>
      <w:tblPr>
        <w:tblW w:w="11057" w:type="dxa"/>
        <w:tblInd w:w="2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9"/>
        <w:gridCol w:w="8875"/>
      </w:tblGrid>
      <w:tr>
        <w:trPr/>
        <w:tc>
          <w:tcPr>
            <w:tcBorders>
              <w:right w:val="none" w:color="000000" w:sz="4" w:space="0"/>
            </w:tcBorders>
            <w:tcW w:w="3059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Я, нижеподписавшийся(аяся),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887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3"/>
        </w:trPr>
        <w:tc>
          <w:tcPr>
            <w:tcBorders>
              <w:bottom w:val="none" w:color="000000" w:sz="4" w:space="0"/>
              <w:right w:val="none" w:color="000000" w:sz="4" w:space="0"/>
            </w:tcBorders>
            <w:tcW w:w="3059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8875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  <w:t xml:space="preserve">фамилия, имя отчество (при наличии)</w:t>
            </w:r>
            <w:r>
              <w:rPr>
                <w:rFonts w:ascii="Times New Roman" w:hAnsi="Times New Roman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/>
                <w:sz w:val="14"/>
                <w:szCs w:val="14"/>
                <w:highlight w:val="white"/>
              </w:rPr>
            </w:r>
          </w:p>
        </w:tc>
      </w:tr>
      <w:tr>
        <w:trPr/>
        <w:tc>
          <w:tcPr>
            <w:gridSpan w:val="2"/>
            <w:tcBorders/>
            <w:tcW w:w="11934" w:type="dxa"/>
            <w:vAlign w:val="top"/>
            <w:textDirection w:val="lrTb"/>
            <w:noWrap w:val="false"/>
          </w:tcPr>
          <w:tbl>
            <w:tblPr>
              <w:tblW w:w="11271" w:type="dxa"/>
              <w:tblInd w:w="-10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1271"/>
            </w:tblGrid>
            <w:tr>
              <w:trPr/>
              <w:tc>
                <w:tcPr>
                  <w:tcBorders/>
                  <w:tcW w:w="11271" w:type="dxa"/>
                  <w:vAlign w:val="top"/>
                  <w:textDirection w:val="lrTb"/>
                  <w:noWrap w:val="false"/>
                </w:tcPr>
                <w:p>
                  <w:pPr>
                    <w:pStyle w:val="852"/>
                    <w:pBdr/>
                    <w:spacing w:after="0" w:line="240" w:lineRule="auto"/>
                    <w:ind w:right="425" w:firstLine="0" w:left="0"/>
                    <w:jc w:val="both"/>
                    <w:rPr>
                      <w:rFonts w:ascii="Times New Roman" w:hAnsi="Times New Roman"/>
                      <w:strike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  <w:t xml:space="preserve">настоящим подтверждаю, что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  <w:t xml:space="preserve">до заключения договора об оказани</w:t>
                  </w:r>
                  <w:r>
                    <w:rPr>
                      <w:rFonts w:ascii="Times New Roman" w:hAnsi="Times New Roman"/>
                      <w:strike w:val="0"/>
                      <w:sz w:val="18"/>
                      <w:szCs w:val="18"/>
                      <w:highlight w:val="white"/>
                    </w:rPr>
                    <w:t xml:space="preserve">и</w:t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  <w:t xml:space="preserve">платных</w:t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highlight w:val="white"/>
                    </w:rPr>
                    <w:t xml:space="preserve">медицинских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у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слуг меня в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доступной форме проинформировали о возможности получить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медицинскую услугу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в государственных медицинских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учреждения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 без вз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и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программа, территориальная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программа)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/>
                      <w:strike/>
                      <w:sz w:val="18"/>
                      <w:szCs w:val="18"/>
                      <w:highlight w:val="white"/>
                    </w:rPr>
                  </w:r>
                  <w:r>
                    <w:rPr>
                      <w:rFonts w:ascii="Times New Roman" w:hAnsi="Times New Roman"/>
                      <w:strike/>
                      <w:sz w:val="18"/>
                      <w:szCs w:val="18"/>
                      <w:highlight w:val="white"/>
                    </w:rPr>
                  </w:r>
                </w:p>
              </w:tc>
            </w:tr>
          </w:tbl>
          <w:p>
            <w:pPr>
              <w:suppressLineNumbers w:val="false"/>
              <w:pBdr/>
              <w:spacing w:after="0" w:line="240" w:lineRule="auto"/>
              <w:ind w:right="1088" w:firstLine="0"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До подписания договора об оказании пл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атных медицинских услуг :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</w:p>
          <w:p>
            <w:pPr>
              <w:suppressLineNumbers w:val="false"/>
              <w:pBdr/>
              <w:spacing w:after="0" w:line="240" w:lineRule="auto"/>
              <w:ind w:right="1088" w:firstLine="0"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- я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ознакомлен(а)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с Прейскурантом, действующим на дату заключения договора и Правилами оказания платных медицинских услуг в ООО «ЦЕНТР СОВРЕМЕННЫХ ТЕХНОЛОГИЙ»; 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</w:p>
          <w:p>
            <w:pPr>
              <w:suppressLineNumbers w:val="false"/>
              <w:pBdr/>
              <w:spacing w:after="0" w:line="240" w:lineRule="auto"/>
              <w:ind w:right="1088" w:firstLine="0"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- я уведомлен(а) о том, что несоблюдение указаний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(рекомендаций) Исполнителя (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медицинского работника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, предоставляющего платную медицинскую услугу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), в том числе назначенного режима лечения,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могут снизить качество предоставляемой платной медицинской услуги, повлечь за собой невозможность ее завершения в срок или отрицательно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сказаться на состоянии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моего здоровья;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 w:right="1088" w:firstLine="0"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- я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получил(а) информацию о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методах оказания медицинской услуги, связанных с ними рисках, видах медицинского вмешательства, их последствиях и ожидаемых результатах оказания медицинской услуги.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trike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  <w14:ligatures w14:val="none"/>
              </w:rPr>
            </w:r>
          </w:p>
        </w:tc>
      </w:tr>
    </w:tbl>
    <w:tbl>
      <w:tblPr>
        <w:tblW w:w="0" w:type="auto"/>
        <w:tblInd w:w="2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single" w:color="000000" w:sz="4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86"/>
        <w:gridCol w:w="2264"/>
        <w:gridCol w:w="272"/>
      </w:tblGrid>
      <w:tr>
        <w:trPr/>
        <w:tc>
          <w:tcPr>
            <w:tcBorders/>
            <w:tcW w:w="850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Borders/>
            <w:tcW w:w="8505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i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  <w:t xml:space="preserve">фамилия, имя отчество</w:t>
            </w: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  <w:t xml:space="preserve"> пациента 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  <w:highlight w:val="white"/>
              </w:rPr>
              <w:t xml:space="preserve">(при наличии)</w:t>
            </w: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</w: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i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  <w:t xml:space="preserve">подпись</w:t>
            </w: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</w:r>
            <w:r>
              <w:rPr>
                <w:rFonts w:ascii="Times New Roman" w:hAnsi="Times New Roman"/>
                <w:i/>
                <w:sz w:val="14"/>
                <w:szCs w:val="14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/>
                <w:sz w:val="14"/>
                <w:szCs w:val="14"/>
                <w:highlight w:val="white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Дата: «___»______________2024г.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/>
        <w:jc w:val="center"/>
        <w:rPr>
          <w:rFonts w:ascii="Times New Roman" w:hAnsi="Times New Roman"/>
          <w:b/>
          <w:sz w:val="18"/>
          <w:szCs w:val="18"/>
          <w:highlight w:val="white"/>
        </w:rPr>
      </w:pPr>
      <w:r>
        <w:rPr>
          <w:rFonts w:ascii="Times New Roman" w:hAnsi="Times New Roman"/>
          <w:b/>
          <w:sz w:val="18"/>
          <w:szCs w:val="18"/>
          <w:highlight w:val="white"/>
        </w:rPr>
        <w:t xml:space="preserve">ДОГОВОР №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b/>
          <w:sz w:val="18"/>
          <w:szCs w:val="18"/>
          <w:highlight w:val="white"/>
        </w:rPr>
      </w:r>
      <w:r>
        <w:rPr>
          <w:rFonts w:ascii="Times New Roman" w:hAnsi="Times New Roman"/>
          <w:b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/>
        <w:jc w:val="center"/>
        <w:rPr>
          <w:rFonts w:ascii="Times New Roman" w:hAnsi="Times New Roman"/>
          <w:b/>
          <w:sz w:val="18"/>
          <w:szCs w:val="18"/>
          <w:highlight w:val="white"/>
        </w:rPr>
      </w:pPr>
      <w:r>
        <w:rPr>
          <w:rFonts w:ascii="Times New Roman" w:hAnsi="Times New Roman"/>
          <w:b/>
          <w:sz w:val="18"/>
          <w:szCs w:val="18"/>
          <w:highlight w:val="white"/>
        </w:rPr>
        <w:t xml:space="preserve">об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 оказани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е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 платных медицинских услуг</w:t>
      </w:r>
      <w:r>
        <w:rPr>
          <w:rFonts w:ascii="Times New Roman" w:hAnsi="Times New Roman"/>
          <w:b/>
          <w:sz w:val="18"/>
          <w:szCs w:val="18"/>
          <w:highlight w:val="white"/>
        </w:rPr>
      </w:r>
      <w:r>
        <w:rPr>
          <w:rFonts w:ascii="Times New Roman" w:hAnsi="Times New Roman"/>
          <w:b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/>
        <w:jc w:val="center"/>
        <w:rPr>
          <w:rFonts w:ascii="Times New Roman" w:hAnsi="Times New Roman"/>
          <w:b/>
          <w:sz w:val="18"/>
          <w:szCs w:val="18"/>
          <w:highlight w:val="white"/>
        </w:rPr>
      </w:pPr>
      <w:r>
        <w:rPr>
          <w:rFonts w:ascii="Times New Roman" w:hAnsi="Times New Roman"/>
          <w:b/>
          <w:sz w:val="18"/>
          <w:szCs w:val="18"/>
          <w:highlight w:val="white"/>
        </w:rPr>
      </w:r>
      <w:r>
        <w:rPr>
          <w:rFonts w:ascii="Times New Roman" w:hAnsi="Times New Roman"/>
          <w:b/>
          <w:sz w:val="18"/>
          <w:szCs w:val="18"/>
          <w:highlight w:val="white"/>
        </w:rPr>
      </w:r>
      <w:r>
        <w:rPr>
          <w:rFonts w:ascii="Times New Roman" w:hAnsi="Times New Roman"/>
          <w:b/>
          <w:sz w:val="18"/>
          <w:szCs w:val="18"/>
          <w:highlight w:val="white"/>
        </w:rPr>
      </w:r>
    </w:p>
    <w:tbl>
      <w:tblPr>
        <w:tblW w:w="11057" w:type="dxa"/>
        <w:tblInd w:w="2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6662"/>
        <w:gridCol w:w="2694"/>
      </w:tblGrid>
      <w:tr>
        <w:trPr/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 w:left="-110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г. Астрахань</w:t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tcBorders/>
            <w:tcW w:w="6662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tcBorders/>
            <w:tcW w:w="2694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  <w:lang w:val="en-US"/>
              </w:rPr>
              <w:t xml:space="preserve"> 2024 г.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852"/>
        <w:pBdr/>
        <w:spacing w:after="0" w:line="240" w:lineRule="auto"/>
        <w:ind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  <w:highlight w:val="white"/>
        </w:rPr>
        <w:t xml:space="preserve">   </w:t>
      </w:r>
      <w:bookmarkStart w:id="0" w:name="_Hlk48070771"/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rPr>
          <w:rFonts w:ascii="Times New Roman" w:hAnsi="Times New Roman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bookmarkEnd w:id="0"/>
      <w:r>
        <w:rPr>
          <w:rFonts w:ascii="Times New Roman" w:hAnsi="Times New Roman"/>
          <w:sz w:val="18"/>
          <w:szCs w:val="18"/>
          <w:highlight w:val="white"/>
        </w:rPr>
        <w:t xml:space="preserve">Общество с ограниченной ответственностью «ЦЕНТР СОВРЕМЕННЫХ ТЕХНОЛОГИЙ», в лице </w:t>
      </w:r>
      <w:r>
        <w:rPr>
          <w:rFonts w:ascii="Times New Roman" w:hAnsi="Times New Roman"/>
          <w:sz w:val="18"/>
          <w:szCs w:val="18"/>
          <w:highlight w:val="white"/>
        </w:rPr>
        <w:t xml:space="preserve">администратора Чекалиной Юлии Юрьевны, действующем на основании доверенности бн от 01.08.2023 года</w:t>
      </w:r>
      <w:r>
        <w:rPr>
          <w:rFonts w:ascii="Times New Roman" w:hAnsi="Times New Roman"/>
          <w:sz w:val="18"/>
          <w:szCs w:val="18"/>
          <w:highlight w:val="white"/>
        </w:rPr>
        <w:t xml:space="preserve">, именуемое в дальнейшем «Исполнитель», с одной стороны, и 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69"/>
        <w:pBdr/>
        <w:spacing w:after="0" w:afterAutospacing="0" w:before="0" w:beforeAutospacing="0"/>
        <w:ind/>
        <w:jc w:val="center"/>
        <w:rPr>
          <w:rFonts w:ascii="Times New Roman" w:hAnsi="Times New Roman"/>
          <w:sz w:val="16"/>
          <w:szCs w:val="16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(</w:t>
      </w:r>
      <w:r>
        <w:rPr>
          <w:rFonts w:ascii="Times New Roman" w:hAnsi="Times New Roman"/>
          <w:sz w:val="18"/>
          <w:szCs w:val="18"/>
          <w:highlight w:val="white"/>
        </w:rPr>
        <w:t xml:space="preserve">фамилия, имя, отчество (при наличии), заказывающего платную медицинскую услугу в пользу Потребителя) </w:t>
      </w:r>
      <w:r>
        <w:rPr>
          <w:rFonts w:ascii="Times New Roman" w:hAnsi="Times New Roman"/>
          <w:sz w:val="16"/>
          <w:szCs w:val="16"/>
          <w:highlight w:val="white"/>
          <w14:ligatures w14:val="none"/>
        </w:rPr>
      </w:r>
      <w:r>
        <w:rPr>
          <w:rFonts w:ascii="Times New Roman" w:hAnsi="Times New Roman"/>
          <w:sz w:val="16"/>
          <w:szCs w:val="16"/>
          <w:highlight w:val="white"/>
          <w14:ligatures w14:val="none"/>
        </w:rPr>
      </w:r>
    </w:p>
    <w:p>
      <w:pPr>
        <w:pStyle w:val="869"/>
        <w:pBdr/>
        <w:spacing w:after="0" w:afterAutospacing="0" w:before="0" w:beforeAutospacing="0"/>
        <w:ind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именуемый в дальнейшем </w:t>
      </w:r>
      <w:r>
        <w:rPr>
          <w:rFonts w:ascii="Times New Roman" w:hAnsi="Times New Roman"/>
          <w:sz w:val="18"/>
          <w:szCs w:val="18"/>
          <w:highlight w:val="white"/>
        </w:rPr>
        <w:t xml:space="preserve">Заказчик,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и</w:t>
      </w:r>
      <w:r>
        <w:rPr>
          <w:rFonts w:ascii="Times New Roman" w:hAnsi="Times New Roman"/>
          <w:sz w:val="18"/>
          <w:szCs w:val="18"/>
          <w:highlight w:val="white"/>
        </w:rPr>
        <w:t xml:space="preserve">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69"/>
        <w:pBdr/>
        <w:spacing w:after="0" w:afterAutospacing="0" w:before="0" w:beforeAutospacing="0"/>
        <w:ind/>
        <w:jc w:val="center"/>
        <w:rPr>
          <w:rFonts w:ascii="Times New Roman" w:hAnsi="Times New Roman"/>
          <w:sz w:val="16"/>
          <w:szCs w:val="16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(</w:t>
      </w:r>
      <w:r>
        <w:rPr>
          <w:rFonts w:ascii="Times New Roman" w:hAnsi="Times New Roman"/>
          <w:sz w:val="18"/>
          <w:szCs w:val="18"/>
          <w:highlight w:val="white"/>
        </w:rPr>
        <w:t xml:space="preserve">фамилия, имя, отчество(при наличии) лица, получающего медицинскую услугу</w:t>
      </w:r>
      <w:r>
        <w:rPr>
          <w:rFonts w:ascii="Times New Roman" w:hAnsi="Times New Roman"/>
          <w:sz w:val="16"/>
          <w:szCs w:val="16"/>
          <w:highlight w:val="white"/>
          <w14:ligatures w14:val="none"/>
        </w:rPr>
      </w:r>
      <w:r>
        <w:rPr>
          <w:rFonts w:ascii="Times New Roman" w:hAnsi="Times New Roman"/>
          <w:sz w:val="16"/>
          <w:szCs w:val="16"/>
          <w:highlight w:val="white"/>
          <w14:ligatures w14:val="none"/>
        </w:rPr>
      </w:r>
    </w:p>
    <w:p>
      <w:pPr>
        <w:pStyle w:val="869"/>
        <w:pBdr/>
        <w:spacing w:after="0" w:afterAutospacing="0" w:before="0" w:beforeAutospacing="0"/>
        <w:ind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Именуемый в дальнейшем «Потребитель» </w:t>
      </w:r>
      <w:r>
        <w:rPr>
          <w:rFonts w:ascii="Times New Roman" w:hAnsi="Times New Roman"/>
          <w:sz w:val="18"/>
          <w:szCs w:val="18"/>
          <w:highlight w:val="white"/>
        </w:rPr>
        <w:t xml:space="preserve">совместно</w:t>
      </w:r>
      <w:r>
        <w:rPr>
          <w:rFonts w:ascii="Times New Roman" w:hAnsi="Times New Roman"/>
          <w:sz w:val="18"/>
          <w:szCs w:val="18"/>
          <w:highlight w:val="white"/>
        </w:rPr>
        <w:t xml:space="preserve"> именуемые «Стороны», </w:t>
      </w:r>
      <w:r>
        <w:rPr>
          <w:rFonts w:ascii="Times New Roman" w:hAnsi="Times New Roman"/>
          <w:sz w:val="18"/>
          <w:szCs w:val="18"/>
          <w:highlight w:val="white"/>
        </w:rPr>
        <w:t xml:space="preserve">заключили настоящий Договор о нижеследующем: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1.</w:t>
      </w:r>
      <w:r>
        <w:rPr>
          <w:rFonts w:ascii="Times New Roman" w:hAnsi="Times New Roman"/>
          <w:b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Сведения о сторонах договора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1.1. С</w:t>
      </w:r>
      <w:r>
        <w:rPr>
          <w:rFonts w:ascii="Times New Roman" w:hAnsi="Times New Roman"/>
          <w:sz w:val="18"/>
          <w:szCs w:val="18"/>
          <w:highlight w:val="white"/>
        </w:rPr>
        <w:t xml:space="preserve">ведения об Исполнителе.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1.1.1. Наименование организации: Общество с ограниченной ответственностью </w:t>
      </w:r>
      <w:r>
        <w:rPr>
          <w:rFonts w:ascii="Times New Roman" w:hAnsi="Times New Roman"/>
          <w:sz w:val="18"/>
          <w:szCs w:val="18"/>
          <w:highlight w:val="white"/>
        </w:rPr>
        <w:t xml:space="preserve">«</w:t>
      </w:r>
      <w:r>
        <w:rPr>
          <w:rFonts w:ascii="Times New Roman" w:hAnsi="Times New Roman"/>
          <w:sz w:val="18"/>
          <w:szCs w:val="18"/>
          <w:highlight w:val="white"/>
        </w:rPr>
        <w:t xml:space="preserve">ЦЕНТР СОВРЕМЕННЫХ ТЕХНОЛОГИЙ</w:t>
      </w:r>
      <w:r>
        <w:rPr>
          <w:rFonts w:ascii="Times New Roman" w:hAnsi="Times New Roman"/>
          <w:sz w:val="18"/>
          <w:szCs w:val="18"/>
          <w:highlight w:val="white"/>
        </w:rPr>
        <w:t xml:space="preserve">»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1.1.2.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Юридический адрес</w:t>
      </w:r>
      <w:r>
        <w:rPr>
          <w:rFonts w:ascii="Times New Roman" w:hAnsi="Times New Roman"/>
          <w:sz w:val="18"/>
          <w:szCs w:val="18"/>
          <w:highlight w:val="white"/>
        </w:rPr>
        <w:t xml:space="preserve">:</w:t>
      </w:r>
      <w:r>
        <w:rPr>
          <w:rFonts w:ascii="Times New Roman" w:hAnsi="Times New Roman"/>
          <w:sz w:val="18"/>
          <w:szCs w:val="18"/>
          <w:highlight w:val="white"/>
        </w:rPr>
        <w:t xml:space="preserve">г. Астрахань, ул. Адмирала Нахимова, д. 60</w:t>
      </w:r>
      <w:r>
        <w:rPr>
          <w:rFonts w:ascii="Times New Roman" w:hAnsi="Times New Roman"/>
          <w:sz w:val="18"/>
          <w:szCs w:val="18"/>
          <w:highlight w:val="white"/>
        </w:rPr>
        <w:t xml:space="preserve">Г</w:t>
      </w:r>
      <w:r>
        <w:rPr>
          <w:rFonts w:ascii="Times New Roman" w:hAnsi="Times New Roman"/>
          <w:sz w:val="18"/>
          <w:szCs w:val="18"/>
          <w:highlight w:val="white"/>
        </w:rPr>
        <w:t xml:space="preserve">, строение литер 25, кабинет 1а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1.1.3. Данные документа, подтверждающего факт внесения сведений о юридическом лице в ЕГРЮЛ: ОГРН </w:t>
      </w:r>
      <w:r>
        <w:rPr>
          <w:rFonts w:ascii="Times New Roman" w:hAnsi="Times New Roman"/>
          <w:sz w:val="18"/>
          <w:szCs w:val="18"/>
          <w:highlight w:val="white"/>
        </w:rPr>
        <w:t xml:space="preserve">1183025008550</w:t>
      </w:r>
      <w:r>
        <w:rPr>
          <w:rFonts w:ascii="Times New Roman" w:hAnsi="Times New Roman"/>
          <w:sz w:val="18"/>
          <w:szCs w:val="18"/>
          <w:highlight w:val="white"/>
        </w:rPr>
        <w:t xml:space="preserve">, дата регистрации </w:t>
      </w:r>
      <w:r>
        <w:rPr>
          <w:rFonts w:ascii="Times New Roman" w:hAnsi="Times New Roman"/>
          <w:sz w:val="18"/>
          <w:szCs w:val="18"/>
          <w:highlight w:val="white"/>
        </w:rPr>
        <w:t xml:space="preserve">– </w:t>
      </w:r>
      <w:r>
        <w:rPr>
          <w:rFonts w:ascii="Times New Roman" w:hAnsi="Times New Roman"/>
          <w:sz w:val="18"/>
          <w:szCs w:val="18"/>
          <w:highlight w:val="white"/>
        </w:rPr>
        <w:t xml:space="preserve">26.12.2018</w:t>
      </w:r>
      <w:r>
        <w:rPr>
          <w:rFonts w:ascii="Times New Roman" w:hAnsi="Times New Roman"/>
          <w:sz w:val="18"/>
          <w:szCs w:val="18"/>
          <w:highlight w:val="white"/>
        </w:rPr>
        <w:t xml:space="preserve">г.</w:t>
      </w:r>
      <w:r>
        <w:rPr>
          <w:rFonts w:ascii="Times New Roman" w:hAnsi="Times New Roman"/>
          <w:sz w:val="18"/>
          <w:szCs w:val="1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наименование регистрирующего органа -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Управление Федеральной налоговой службы по Астраханской области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2"/>
        <w:pBdr/>
        <w:spacing w:after="0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1.1.4. </w:t>
      </w:r>
      <w:r>
        <w:rPr>
          <w:rFonts w:ascii="Times New Roman" w:hAnsi="Times New Roman"/>
          <w:sz w:val="18"/>
          <w:szCs w:val="18"/>
          <w:highlight w:val="white"/>
        </w:rPr>
        <w:t xml:space="preserve">П</w:t>
      </w:r>
      <w:r>
        <w:rPr>
          <w:rFonts w:ascii="Times New Roman" w:hAnsi="Times New Roman"/>
          <w:sz w:val="18"/>
          <w:szCs w:val="18"/>
          <w:highlight w:val="white"/>
        </w:rPr>
        <w:t xml:space="preserve">латные медицинские услуги предоставляются Исполнителем на основании выписки из реестра лицензий номер: лицензия от 27 сентября 2021г. № Л041-01153-30/00367971 выдана Министерством здравоохранения Астраханской области, находящимся по адресу: 414056, г. Астр</w:t>
      </w:r>
      <w:r>
        <w:rPr>
          <w:rFonts w:ascii="Times New Roman" w:hAnsi="Times New Roman"/>
          <w:sz w:val="18"/>
          <w:szCs w:val="18"/>
          <w:highlight w:val="white"/>
        </w:rPr>
        <w:t xml:space="preserve">ахань, ул. Татищева, 16 “В”Срок действия лицензии – бессрочно.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Копия выписки из реестра лицензий с перечнем предоставляемых работ (услуг), составляющих медицинскую деятельность Исполнителя, является общедоступной и размещена для ознакомления на официальном сайте Исполнителя, а также доступна Потребителю</w:t>
      </w:r>
      <w:r>
        <w:rPr>
          <w:rFonts w:ascii="Times New Roman" w:hAnsi="Times New Roman"/>
          <w:sz w:val="18"/>
          <w:szCs w:val="18"/>
          <w:highlight w:val="white"/>
        </w:rPr>
        <w:t xml:space="preserve"> для ознакомления на стендах (стойках) в помещении  Исполнителя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highlight w:val="white"/>
        </w:rPr>
        <w:t xml:space="preserve">1.1.5. Адрес фактического оказания услуги: г. Астрахань, пер. 1 –й Аршанский, д. 2.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</w:t>
      </w:r>
      <w:r>
        <w:rPr>
          <w:rFonts w:ascii="Times New Roman" w:hAnsi="Times New Roman"/>
          <w:sz w:val="18"/>
          <w:szCs w:val="18"/>
          <w:highlight w:val="white"/>
        </w:rPr>
        <w:t xml:space="preserve">2</w:t>
      </w:r>
      <w:r>
        <w:rPr>
          <w:rFonts w:ascii="Times New Roman" w:hAnsi="Times New Roman"/>
          <w:sz w:val="18"/>
          <w:szCs w:val="18"/>
          <w:highlight w:val="white"/>
        </w:rPr>
        <w:t xml:space="preserve">. Сведения о Заказчике: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1.2.1. Фамилия, имя, отчество (при наличии), адрес места жительства и телефон Заказчика: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____________________________________________________________________________________________________________.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1.3. </w:t>
      </w:r>
      <w:r>
        <w:rPr>
          <w:rFonts w:ascii="Times New Roman" w:hAnsi="Times New Roman"/>
          <w:sz w:val="18"/>
          <w:szCs w:val="18"/>
          <w:highlight w:val="white"/>
        </w:rPr>
        <w:t xml:space="preserve">Сведения о Потребителе: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1.2.1. Фамилия, имя, отчество (при наличии), адрес места жительства и телефон Потребителя: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____________________________________________________________________________________________________________.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  <w:highlight w:val="white"/>
        </w:rPr>
      </w:pPr>
      <w:r>
        <w:rPr>
          <w:rFonts w:ascii="Times New Roman" w:hAnsi="Times New Roman"/>
          <w:b/>
          <w:sz w:val="18"/>
          <w:szCs w:val="18"/>
          <w:highlight w:val="white"/>
        </w:rPr>
        <w:t xml:space="preserve">2.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Предмет договора</w:t>
      </w:r>
      <w:r>
        <w:rPr>
          <w:rFonts w:ascii="Times New Roman" w:hAnsi="Times New Roman"/>
          <w:b/>
          <w:sz w:val="18"/>
          <w:szCs w:val="18"/>
          <w:highlight w:val="white"/>
        </w:rPr>
      </w:r>
      <w:r>
        <w:rPr>
          <w:rFonts w:ascii="Times New Roman" w:hAnsi="Times New Roman"/>
          <w:b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2.1. </w:t>
      </w:r>
      <w:r>
        <w:rPr>
          <w:rFonts w:ascii="Times New Roman" w:hAnsi="Times New Roman"/>
          <w:sz w:val="18"/>
          <w:szCs w:val="18"/>
          <w:highlight w:val="white"/>
        </w:rPr>
        <w:t xml:space="preserve">Исполнитель обязуется оказать Потребителю/Заказчику платные меди</w:t>
      </w:r>
      <w:r>
        <w:rPr>
          <w:rFonts w:ascii="Times New Roman" w:hAnsi="Times New Roman"/>
          <w:sz w:val="18"/>
          <w:szCs w:val="18"/>
          <w:highlight w:val="white"/>
        </w:rPr>
        <w:t xml:space="preserve">цинские услуги, на условиях, определенных настоящим Договором,</w:t>
      </w:r>
      <w:r>
        <w:rPr>
          <w:rFonts w:ascii="Times New Roman" w:hAnsi="Times New Roman"/>
          <w:sz w:val="18"/>
          <w:szCs w:val="18"/>
          <w:highlight w:val="white"/>
        </w:rPr>
        <w:t xml:space="preserve"> том числе с применением телемедицинских технологий, в соответствии с условиями настоящего Договора,</w:t>
      </w:r>
      <w:r>
        <w:rPr>
          <w:rFonts w:ascii="Times New Roman" w:hAnsi="Times New Roman"/>
          <w:sz w:val="18"/>
          <w:szCs w:val="18"/>
          <w:highlight w:val="white"/>
        </w:rPr>
        <w:t xml:space="preserve"> а Потребитель обязуется принять и оплатить указанные услуги в размере, порядке и сроки, которые установлены настоящим Договором.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trike/>
          <w:sz w:val="18"/>
          <w:szCs w:val="18"/>
          <w:highlight w:val="white"/>
        </w:rPr>
      </w:r>
      <w:r>
        <w:rPr>
          <w:rFonts w:ascii="Times New Roman" w:hAnsi="Times New Roman"/>
          <w:strike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2.2. До заключения Договора 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Потребителю/Заказчику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предоставлена в доступной форме информация о возможности получения соответству</w:t>
      </w:r>
      <w:r>
        <w:rPr>
          <w:rFonts w:ascii="Times New Roman" w:hAnsi="Times New Roman"/>
          <w:sz w:val="18"/>
          <w:szCs w:val="18"/>
          <w:highlight w:val="white"/>
        </w:rPr>
        <w:t xml:space="preserve">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2.3. В период действия Договора Исполнитель обязуется оказывать медицинские услуги только при наличии предварительно оформленного в письменном виде и подписанного 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Потребителем/Заказчиком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 информированного добровольного согласия на виды медицинских вмешательств. Указанное в настоящем пункте согласие оформляется в одном экземпляре и содержится в медицинской документации </w:t>
      </w:r>
      <w:r>
        <w:rPr>
          <w:rFonts w:ascii="Times New Roman" w:hAnsi="Times New Roman"/>
          <w:sz w:val="18"/>
          <w:szCs w:val="18"/>
          <w:highlight w:val="white"/>
        </w:rPr>
        <w:t xml:space="preserve">Пациента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  <w:highlight w:val="white"/>
        </w:rPr>
      </w:pPr>
      <w:r>
        <w:rPr>
          <w:rFonts w:ascii="Times New Roman" w:hAnsi="Times New Roman"/>
          <w:b/>
          <w:sz w:val="18"/>
          <w:szCs w:val="18"/>
          <w:highlight w:val="white"/>
        </w:rPr>
        <w:t xml:space="preserve">3. Стоимость услуг и порядок расчетов</w:t>
      </w:r>
      <w:r>
        <w:rPr>
          <w:rFonts w:ascii="Times New Roman" w:hAnsi="Times New Roman"/>
          <w:b/>
          <w:sz w:val="18"/>
          <w:szCs w:val="18"/>
          <w:highlight w:val="white"/>
        </w:rPr>
      </w:r>
      <w:r>
        <w:rPr>
          <w:rFonts w:ascii="Times New Roman" w:hAnsi="Times New Roman"/>
          <w:b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3.1. Стоимость услуг по настоящему договору определяется на основании </w:t>
      </w:r>
      <w:r>
        <w:rPr>
          <w:rFonts w:ascii="Times New Roman" w:hAnsi="Times New Roman"/>
          <w:sz w:val="18"/>
          <w:szCs w:val="18"/>
          <w:highlight w:val="white"/>
        </w:rPr>
        <w:t xml:space="preserve">П</w:t>
      </w:r>
      <w:r>
        <w:rPr>
          <w:rFonts w:ascii="Times New Roman" w:hAnsi="Times New Roman"/>
          <w:sz w:val="18"/>
          <w:szCs w:val="18"/>
          <w:highlight w:val="white"/>
        </w:rPr>
        <w:t xml:space="preserve">риложений, в соответствии с действующим прейскурантом Исполнителя. 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3.1.1. Перечень платных медицинских услуг, предоставляемых в соответствии с договором: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tbl>
      <w:tblPr>
        <w:tblW w:w="10631" w:type="dxa"/>
        <w:tblInd w:w="3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f2f2f2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"/>
        <w:gridCol w:w="7229"/>
        <w:gridCol w:w="1560"/>
        <w:gridCol w:w="1417"/>
      </w:tblGrid>
      <w:tr>
        <w:trPr>
          <w:trHeight w:val="510"/>
        </w:trPr>
        <w:tc>
          <w:tcPr>
            <w:shd w:val="clear" w:color="auto" w:fill="f8f8f8"/>
            <w:tcBorders>
              <w:top w:val="single" w:color="000000" w:sz="8" w:space="0"/>
              <w:bottom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8f8f8"/>
            <w:tcBorders>
              <w:top w:val="single" w:color="000000" w:sz="8" w:space="0"/>
              <w:bottom w:val="single" w:color="000000" w:sz="4" w:space="0"/>
            </w:tcBorders>
            <w:tcW w:w="7229" w:type="dxa"/>
            <w:vAlign w:val="center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Код услуги и ее наименование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8f8f8"/>
            <w:tcBorders>
              <w:top w:val="single" w:color="000000" w:sz="8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Условия и сроки оказания</w:t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8f8f8"/>
            <w:tcBorders>
              <w:top w:val="single" w:color="000000" w:sz="8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highlight w:val="white"/>
                <w:lang w:val="ru-RU"/>
              </w:rPr>
              <w:t xml:space="preserve">Стоимость</w:t>
            </w:r>
            <w:r>
              <w:rPr>
                <w:rFonts w:ascii="Times New Roman" w:hAnsi="Times New Roman"/>
                <w:bCs/>
                <w:highlight w:val="white"/>
                <w:lang w:val="ru-RU"/>
              </w:rPr>
              <w:t xml:space="preserve">, руб.</w:t>
            </w:r>
            <w:r>
              <w:rPr>
                <w:rFonts w:ascii="Times New Roman" w:hAnsi="Times New Roman"/>
                <w:bCs/>
                <w:highlight w:val="white"/>
                <w:lang w:val="ru-RU"/>
              </w:rPr>
              <w:t xml:space="preserve">,коп.</w:t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349"/>
        </w:trPr>
        <w:tc>
          <w:tcPr>
            <w:shd w:val="clear" w:color="auto" w:fill="ffffff"/>
            <w:tcBorders>
              <w:top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1.</w:t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tcW w:w="425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2.</w:t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fffff"/>
            <w:tcBorders/>
            <w:tcW w:w="7229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lef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560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tcW w:w="425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3.</w:t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fffff"/>
            <w:tcBorders/>
            <w:tcW w:w="7229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lef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560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tcW w:w="425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  <w:t xml:space="preserve">4.</w:t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fffff"/>
            <w:tcBorders/>
            <w:tcW w:w="7229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lef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560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352"/>
        </w:trPr>
        <w:tc>
          <w:tcPr>
            <w:shd w:val="clear" w:color="auto" w:fill="ffffff"/>
            <w:tcBorders/>
            <w:tcW w:w="425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  <w:lang w:val="ru-RU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ffffff"/>
            <w:tcBorders/>
            <w:tcW w:w="7229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lef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t xml:space="preserve"> к оплате</w:t>
            </w: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highlight w:val="white"/>
                <w:lang w:val="ru-RU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560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strike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3.1.2.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Оплата за медицинские услуги  производится Потребителем/Заказчиком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в рублях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в день подписания настоящего Договора в наличной форме путем внесения денежных средств в кассу Исполнителя или безналичным способом с использованием платежных карт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 и иных электронных средств платежа по выбору Потребителя/Пациента.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trike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strike/>
          <w:color w:val="000000"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3.1.3. При необходимости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Потребителю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3.2</w:t>
      </w:r>
      <w:r>
        <w:rPr>
          <w:rFonts w:ascii="Times New Roman" w:hAnsi="Times New Roman"/>
          <w:sz w:val="18"/>
          <w:szCs w:val="18"/>
          <w:highlight w:val="white"/>
        </w:rPr>
        <w:t xml:space="preserve">. </w:t>
      </w:r>
      <w:r>
        <w:rPr>
          <w:rFonts w:ascii="Times New Roman" w:hAnsi="Times New Roman"/>
          <w:sz w:val="18"/>
          <w:szCs w:val="18"/>
          <w:highlight w:val="white"/>
        </w:rPr>
        <w:t xml:space="preserve">Оплата медицинских услуг, предоставляемых в соответствии с договором ДМС, осуществляется в соответствии с Гражданским кодексом Российской Федерации и Законом Российской Федерации </w:t>
      </w:r>
      <w:r>
        <w:rPr>
          <w:rFonts w:ascii="Times New Roman" w:hAnsi="Times New Roman"/>
          <w:sz w:val="18"/>
          <w:szCs w:val="18"/>
          <w:highlight w:val="white"/>
        </w:rPr>
        <w:t xml:space="preserve">«</w:t>
      </w:r>
      <w:r>
        <w:rPr>
          <w:rFonts w:ascii="Times New Roman" w:hAnsi="Times New Roman"/>
          <w:sz w:val="18"/>
          <w:szCs w:val="18"/>
          <w:highlight w:val="white"/>
        </w:rPr>
        <w:t xml:space="preserve">Об организации страхового дела в Российской Федерации</w:t>
      </w:r>
      <w:r>
        <w:rPr>
          <w:rFonts w:ascii="Times New Roman" w:hAnsi="Times New Roman"/>
          <w:sz w:val="18"/>
          <w:szCs w:val="18"/>
          <w:highlight w:val="white"/>
        </w:rPr>
        <w:t xml:space="preserve">»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trike/>
          <w:sz w:val="18"/>
          <w:szCs w:val="18"/>
          <w:highlight w:val="white"/>
        </w:rPr>
      </w:r>
      <w:r>
        <w:rPr>
          <w:rFonts w:ascii="Times New Roman" w:hAnsi="Times New Roman"/>
          <w:strike/>
          <w:sz w:val="18"/>
          <w:szCs w:val="18"/>
          <w:highlight w:val="white"/>
        </w:rPr>
      </w:r>
    </w:p>
    <w:p>
      <w:pPr>
        <w:pBdr/>
        <w:spacing w:after="0" w:line="240" w:lineRule="auto"/>
        <w:ind w:right="0" w:firstLine="0"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3.3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 случае если по каким-либо причинам, не зависящим от волеизъявления Сторон, объем оказываемых Потребителю услуг, предусмотренный настоящим договором, сократится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 либо оказание услуг в рамках настоящего договора на каком-либо этапе лечения окажется невозможным, Стороны подписывают соглашение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 о расторжении договора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, явл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яющееся неотъемлемой частью настоящего договора, при этом с Потребителя/Заказчика удерживается сумма за фактически оказанные услуги. Остаток суммы, уплаченный Потребителем/Заказчиком по настоящему договору, возвращается ему в момент окончательных расчетов.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Bdr/>
        <w:spacing w:after="0" w:line="240" w:lineRule="auto"/>
        <w:ind w:right="0" w:firstLine="0" w:left="142"/>
        <w:jc w:val="both"/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3.4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В случае отказа Потребителя после заключения Договора от получения медицинских услуг договор расторгается, при этом Потребитель/Заказчик оплачивает Исполнителю фактически понесенные Исполнителем расходы, связанные с исполнением обязательств по Договору.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  <w14:ligatures w14:val="none"/>
        </w:rPr>
      </w:r>
    </w:p>
    <w:p>
      <w:pPr>
        <w:pStyle w:val="852"/>
        <w:pBdr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highlight w:val="white"/>
        </w:rPr>
        <w:t xml:space="preserve">4</w:t>
      </w:r>
      <w:r>
        <w:rPr>
          <w:rFonts w:ascii="Times New Roman" w:hAnsi="Times New Roman"/>
          <w:b/>
          <w:bCs/>
          <w:color w:val="000000"/>
          <w:sz w:val="20"/>
          <w:szCs w:val="20"/>
          <w:highlight w:val="white"/>
        </w:rPr>
        <w:t xml:space="preserve">. Права и обязанности Сторон</w:t>
      </w:r>
      <w:r>
        <w:rPr>
          <w:rFonts w:ascii="Times New Roman" w:hAnsi="Times New Roman"/>
          <w:b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b/>
          <w:color w:val="000000"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.1. Исполнитель обязуется: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.1.1. Организовывать и осуществлять медицинскую деятельность в соответствии с законодательством Российской Федерации</w:t>
      </w:r>
      <w:r>
        <w:rPr>
          <w:rFonts w:ascii="Times New Roman" w:hAnsi="Times New Roman"/>
          <w:strike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Обеспечить соответствие предоставляемых по настоящему Договору услуг требованиям, предъявляемым к методам диагностики, профилактики и лечения на территории Российской Федерации</w:t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  <w:t xml:space="preserve">.1.2. Обеспечить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Потребителя/Заказчика</w:t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  <w:t xml:space="preserve"> бесплатной, доступной и достоверной информацией об оказываемой медицинской помощи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условиях предоставления и получения услуги</w:t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strike w:val="0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.1.3. Уведомить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Потребителя/Заказчика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о том, что граждане, находящиеся на лечении, в соответствии с Федеральным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законом от 21.11.2011г. № 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323-ФЗ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«Об основах охраны здоровья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граждан в Российской Федерации»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.1.4. После исполнения Договора выдать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Потребителю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медицинские документы (копии медицинских документов, выписки из медицинских документов), отражающие сос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(Пять)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рабочих дней,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с даты получения от Пациента запроса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без взимания дополнительной платы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.2.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Потребитель/Заказчик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обязуется: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.2.1. Оплачивать услуги Исполнителя в порядке, сроки и на условиях, которые установлены настоящим Договором.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.2.2.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До оказания услуги проинформировать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Исполнителя о перенесенных заболеваниях, известных ему аллергических реакциях, противопоказаниях,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а также данные предварительных исследований и консультаций специалистов, проведенных не Исполнителем (при наличии).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.3. Исполнитель имеет право: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.3.1. Получать от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Потребителя /Заказчика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информацию, необходимую для выполнения своих обязательств по настоящему Договору.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.3.2. Получать вознаграждение за оказание услуг по настоящему Договору.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.4.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Потребитель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имеет право: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.4.1. Получать от Исполнителя услуги, предусмотренные настоящим Договором.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.4.2. Получать информацию о своих правах и обязанностях, состоянии своего здоровья.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5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 Условия предоставления платных медицинских услуг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.1. </w:t>
      </w:r>
      <w:r>
        <w:rPr>
          <w:rFonts w:ascii="Times New Roman" w:hAnsi="Times New Roman"/>
          <w:sz w:val="18"/>
          <w:szCs w:val="18"/>
          <w:highlight w:val="white"/>
        </w:rPr>
        <w:t xml:space="preserve">Платные медицинские услуги оказываются на основе добровольного волеизъявления Потребителя/Пациента</w:t>
      </w:r>
      <w:r>
        <w:rPr>
          <w:rFonts w:ascii="Times New Roman" w:hAnsi="Times New Roman"/>
          <w:sz w:val="18"/>
          <w:szCs w:val="18"/>
          <w:highlight w:val="white"/>
        </w:rPr>
        <w:t xml:space="preserve"> и согласия приобрести медицинскую услугу на возмездной основе за счет средств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Потребителя/Пациента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5.2.Медицинские услуги оказываются Исполнителем в соответствии с правоустанавливающими документами, на основании перечня работ (услуг), составляющих медицинскую деятельность и указанных в лицензии на осуществление медицинской деятельности, в соо</w:t>
      </w:r>
      <w:r>
        <w:rPr>
          <w:rFonts w:ascii="Times New Roman" w:hAnsi="Times New Roman"/>
          <w:sz w:val="18"/>
          <w:szCs w:val="18"/>
          <w:highlight w:val="white"/>
        </w:rPr>
        <w:t xml:space="preserve">тветствии с порядками оказания медицинской помощи, утверждёнными Министерством здравоохранения Российской Федерации и обязательными для исполнения на территории Российской Федерации всеми медицинскими организациями, положением об организации оказания медиц</w:t>
      </w:r>
      <w:r>
        <w:rPr>
          <w:rFonts w:ascii="Times New Roman" w:hAnsi="Times New Roman"/>
          <w:sz w:val="18"/>
          <w:szCs w:val="18"/>
          <w:highlight w:val="white"/>
        </w:rPr>
        <w:t xml:space="preserve">инской помощи по видам медицинской помощи, утверждённым Министерством здравоохранения Российской Федерации, на основе клинических рекомендаций, а также с учетом стандартов медицинской помощи, утверждённых Министерством здравоохранения Российской Федерации.</w:t>
      </w: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5.3.Платные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</w:t>
      </w:r>
      <w:r>
        <w:rPr>
          <w:rFonts w:ascii="Times New Roman" w:hAnsi="Times New Roman"/>
          <w:sz w:val="18"/>
          <w:szCs w:val="18"/>
          <w:highlight w:val="white"/>
        </w:rPr>
        <w:t xml:space="preserve">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5.4.Исполнителем после исполнения договора выдаются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Потребителю</w:t>
      </w:r>
      <w:r>
        <w:rPr>
          <w:rFonts w:ascii="Times New Roman" w:hAnsi="Times New Roman"/>
          <w:sz w:val="18"/>
          <w:szCs w:val="18"/>
          <w:highlight w:val="white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  <w:t xml:space="preserve">5.5.Платные медицинские услуги предоставляются только при наличии информированного добровольного согласия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 </w:t>
      </w:r>
      <w:r>
        <w:rPr>
          <w:rFonts w:ascii="Times New Roman" w:hAnsi="Times New Roman"/>
          <w:sz w:val="18"/>
          <w:szCs w:val="18"/>
          <w:highlight w:val="white"/>
        </w:rPr>
        <w:t xml:space="preserve"> (законного представителя Потребителя</w:t>
      </w:r>
      <w:r>
        <w:rPr>
          <w:rFonts w:ascii="Times New Roman" w:hAnsi="Times New Roman"/>
          <w:sz w:val="18"/>
          <w:szCs w:val="18"/>
          <w:highlight w:val="white"/>
        </w:rPr>
        <w:t xml:space="preserve">).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5.6.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Подписав настоящий Договор,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  <w:t xml:space="preserve">Потребитель/Заказчик</w:t>
      </w:r>
      <w:r>
        <w:rPr>
          <w:rFonts w:ascii="Times New Roman" w:hAnsi="Times New Roman"/>
          <w:sz w:val="18"/>
          <w:szCs w:val="18"/>
          <w:highlight w:val="white"/>
        </w:rPr>
        <w:t xml:space="preserve"> дает Исполнителю согласие на обработку необходимых персональных данных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</w:t>
      </w:r>
      <w:r>
        <w:rPr>
          <w:rFonts w:ascii="Times New Roman" w:hAnsi="Times New Roman"/>
          <w:sz w:val="18"/>
          <w:szCs w:val="18"/>
          <w:highlight w:val="white"/>
        </w:rPr>
        <w:t xml:space="preserve"> в объеме и способами, указанными в Законе от 27 июля 2006 г. № 152-ФЗ </w:t>
      </w:r>
      <w:r>
        <w:rPr>
          <w:rFonts w:ascii="Times New Roman" w:hAnsi="Times New Roman"/>
          <w:sz w:val="18"/>
          <w:szCs w:val="18"/>
          <w:highlight w:val="white"/>
        </w:rPr>
        <w:t xml:space="preserve">«</w:t>
      </w:r>
      <w:r>
        <w:rPr>
          <w:rFonts w:ascii="Times New Roman" w:hAnsi="Times New Roman"/>
          <w:sz w:val="18"/>
          <w:szCs w:val="18"/>
          <w:highlight w:val="white"/>
        </w:rPr>
        <w:t xml:space="preserve">О персональных данных</w:t>
      </w:r>
      <w:r>
        <w:rPr>
          <w:rFonts w:ascii="Times New Roman" w:hAnsi="Times New Roman"/>
          <w:sz w:val="18"/>
          <w:szCs w:val="18"/>
          <w:highlight w:val="white"/>
        </w:rPr>
        <w:t xml:space="preserve">»</w:t>
      </w:r>
      <w:r>
        <w:rPr>
          <w:rFonts w:ascii="Times New Roman" w:hAnsi="Times New Roman"/>
          <w:sz w:val="18"/>
          <w:szCs w:val="18"/>
          <w:highlight w:val="white"/>
        </w:rPr>
        <w:t xml:space="preserve">, для целей исполнения Исполнителем обязательств по настоящему договору.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5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  <w:t xml:space="preserve">7.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</w:t>
      </w:r>
      <w:r>
        <w:rPr>
          <w:rFonts w:ascii="Times New Roman" w:hAnsi="Times New Roman"/>
          <w:sz w:val="18"/>
          <w:szCs w:val="18"/>
          <w:highlight w:val="white"/>
        </w:rPr>
        <w:t xml:space="preserve"> при внезапных острых заболеваниях, состояниях, обострениях </w:t>
      </w:r>
      <w:r>
        <w:rPr>
          <w:rFonts w:ascii="Times New Roman" w:hAnsi="Times New Roman"/>
          <w:sz w:val="18"/>
          <w:szCs w:val="18"/>
          <w:highlight w:val="white"/>
        </w:rPr>
        <w:t xml:space="preserve">хронических заболеваний, такие медицинские услуги оказываются без взимания платы. Исполнитель имеет право в одностороннем порядке изменить предварительно определенный объем оказываемых медицинских услуг, в случае, если существует угроза жизни или здоровью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5.</w:t>
      </w:r>
      <w:r>
        <w:rPr>
          <w:rFonts w:ascii="Times New Roman" w:hAnsi="Times New Roman"/>
          <w:sz w:val="18"/>
          <w:szCs w:val="18"/>
          <w:highlight w:val="white"/>
        </w:rPr>
        <w:t xml:space="preserve">8.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Потребитель</w:t>
      </w:r>
      <w:r>
        <w:rPr>
          <w:rFonts w:ascii="Times New Roman" w:hAnsi="Times New Roman"/>
          <w:sz w:val="18"/>
          <w:szCs w:val="18"/>
          <w:highlight w:val="white"/>
        </w:rPr>
        <w:t xml:space="preserve"> заблаговременно обязуется информировать Исполнителя о необходимости отмены или изменении назначенного ему времени получения медицинской услуги. В случае опоздания </w:t>
      </w:r>
      <w:r>
        <w:rPr>
          <w:rFonts w:ascii="Times New Roman" w:hAnsi="Times New Roman"/>
          <w:sz w:val="18"/>
          <w:szCs w:val="18"/>
          <w:highlight w:val="white"/>
        </w:rPr>
        <w:t xml:space="preserve">Потребителя к назначенному времени получения услуги, Исполнитель оставляет за собой право на перенос или отмену срока получения услуги.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6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 Ответственность сторон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strike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6.1. </w:t>
      </w:r>
      <w:r>
        <w:rPr>
          <w:rFonts w:ascii="Times New Roman" w:hAnsi="Times New Roman"/>
          <w:sz w:val="18"/>
          <w:szCs w:val="18"/>
          <w:highlight w:val="white"/>
        </w:rPr>
        <w:t xml:space="preserve">За неисполнение либо ненадлежащее исполнение обязательств по настоящему Договору Исполнитель несет ответственность, предусмотренную законодательством Российской Федерации. </w:t>
      </w:r>
      <w:r>
        <w:rPr>
          <w:rFonts w:ascii="Times New Roman" w:hAnsi="Times New Roman"/>
          <w:strike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strike/>
          <w:color w:val="000000"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 w:left="142"/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6.2.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Вред, причиненный жизни или здоровью пациента (потребителя)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Российской Федерации.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6.3.</w:t>
      </w:r>
      <w:r>
        <w:rPr>
          <w:rFonts w:ascii="Times New Roman" w:hAnsi="Times New Roman"/>
          <w:sz w:val="18"/>
          <w:szCs w:val="18"/>
          <w:highlight w:val="white"/>
        </w:rPr>
        <w:t xml:space="preserve">Исполнитель </w:t>
      </w:r>
      <w:r>
        <w:rPr>
          <w:rFonts w:ascii="Times New Roman" w:hAnsi="Times New Roman"/>
          <w:sz w:val="18"/>
          <w:szCs w:val="18"/>
          <w:highlight w:val="white"/>
        </w:rPr>
        <w:t xml:space="preserve">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 </w:t>
      </w:r>
      <w:hyperlink r:id="rId10" w:tooltip="https://demo.garant.ru/#/document/55724824/entry/332" w:anchor="/document/55724824/entry/332" w:history="1">
        <w:r>
          <w:rPr>
            <w:rFonts w:ascii="Times New Roman" w:hAnsi="Times New Roman"/>
            <w:sz w:val="18"/>
            <w:szCs w:val="18"/>
            <w:highlight w:val="white"/>
          </w:rPr>
          <w:t xml:space="preserve">п. </w:t>
        </w:r>
        <w:r>
          <w:rPr>
            <w:rFonts w:ascii="Times New Roman" w:hAnsi="Times New Roman"/>
            <w:sz w:val="18"/>
            <w:szCs w:val="18"/>
            <w:highlight w:val="white"/>
          </w:rPr>
          <w:t xml:space="preserve">4.3.1</w:t>
        </w:r>
      </w:hyperlink>
      <w:r>
        <w:rPr>
          <w:rFonts w:ascii="Times New Roman" w:hAnsi="Times New Roman"/>
          <w:sz w:val="18"/>
          <w:szCs w:val="18"/>
          <w:highlight w:val="white"/>
        </w:rPr>
        <w:t xml:space="preserve"> настоящего договора либо вызванных медицинскими показаниями, а также в случаях, предусмотренных </w:t>
      </w:r>
      <w:hyperlink r:id="rId11" w:tooltip="https://demo.garant.ru/#/document/55724824/entry/334" w:anchor="/document/55724824/entry/334" w:history="1">
        <w:r>
          <w:rPr>
            <w:rFonts w:ascii="Times New Roman" w:hAnsi="Times New Roman"/>
            <w:sz w:val="18"/>
            <w:szCs w:val="18"/>
            <w:highlight w:val="white"/>
          </w:rPr>
          <w:t xml:space="preserve">п</w:t>
        </w:r>
      </w:hyperlink>
      <w:r>
        <w:rPr>
          <w:rFonts w:ascii="Times New Roman" w:hAnsi="Times New Roman"/>
          <w:sz w:val="18"/>
          <w:szCs w:val="18"/>
          <w:highlight w:val="white"/>
        </w:rPr>
        <w:t xml:space="preserve">. 4.3.2. настоящего договора.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6</w:t>
      </w:r>
      <w:r>
        <w:rPr>
          <w:rFonts w:ascii="Times New Roman" w:hAnsi="Times New Roman"/>
          <w:sz w:val="18"/>
          <w:szCs w:val="18"/>
          <w:highlight w:val="white"/>
        </w:rPr>
        <w:t xml:space="preserve">.4.</w:t>
      </w:r>
      <w:r>
        <w:rPr>
          <w:rFonts w:ascii="Times New Roman" w:hAnsi="Times New Roman"/>
          <w:sz w:val="18"/>
          <w:szCs w:val="18"/>
          <w:highlight w:val="white"/>
        </w:rPr>
        <w:t xml:space="preserve">Стороны освобождаются от ответственности за частичное или полное неисполнение либо ненадлежащее</w:t>
      </w:r>
      <w:r>
        <w:rPr>
          <w:rFonts w:ascii="Times New Roman" w:hAnsi="Times New Roman"/>
          <w:sz w:val="18"/>
          <w:szCs w:val="18"/>
          <w:highlight w:val="white"/>
        </w:rPr>
        <w:t xml:space="preserve">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7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 Порядок изменения и расторжения Договора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7</w:t>
      </w:r>
      <w:r>
        <w:rPr>
          <w:rFonts w:ascii="Times New Roman" w:hAnsi="Times New Roman"/>
          <w:sz w:val="18"/>
          <w:szCs w:val="18"/>
          <w:highlight w:val="white"/>
        </w:rPr>
        <w:t xml:space="preserve">.1. </w:t>
      </w:r>
      <w:r>
        <w:rPr>
          <w:rFonts w:ascii="Times New Roman" w:hAnsi="Times New Roman"/>
          <w:sz w:val="18"/>
          <w:szCs w:val="18"/>
          <w:highlight w:val="white"/>
        </w:rPr>
        <w:t xml:space="preserve">Настоящий Договор может быть расторгнут по соглашению Сторон, а также в иных случаях, предусмотренных действующим законодательством.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7</w:t>
      </w:r>
      <w:r>
        <w:rPr>
          <w:rFonts w:ascii="Times New Roman" w:hAnsi="Times New Roman"/>
          <w:sz w:val="18"/>
          <w:szCs w:val="18"/>
          <w:highlight w:val="white"/>
        </w:rPr>
        <w:t xml:space="preserve">.2.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8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 Обеспечение конфиденциальности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8</w:t>
      </w:r>
      <w:r>
        <w:rPr>
          <w:rFonts w:ascii="Times New Roman" w:hAnsi="Times New Roman"/>
          <w:sz w:val="20"/>
          <w:szCs w:val="20"/>
          <w:highlight w:val="white"/>
        </w:rPr>
        <w:t xml:space="preserve">.1. </w:t>
      </w:r>
      <w:r>
        <w:rPr>
          <w:rFonts w:ascii="Times New Roman" w:hAnsi="Times New Roman"/>
          <w:sz w:val="18"/>
          <w:szCs w:val="18"/>
          <w:highlight w:val="white"/>
        </w:rPr>
        <w:t xml:space="preserve">Исполнитель обязуется хранить в тайне информацию о факте обращения гражданина за оказанием медицинской помощи, состоянии его здоровья и диагнозе, и иные сведения, полученные при его медицинском обследовании и лечении.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8</w:t>
      </w:r>
      <w:r>
        <w:rPr>
          <w:rFonts w:ascii="Times New Roman" w:hAnsi="Times New Roman"/>
          <w:sz w:val="18"/>
          <w:szCs w:val="18"/>
          <w:highlight w:val="white"/>
        </w:rPr>
        <w:t xml:space="preserve">.2. Предос</w:t>
      </w:r>
      <w:r>
        <w:rPr>
          <w:rFonts w:ascii="Times New Roman" w:hAnsi="Times New Roman"/>
          <w:sz w:val="18"/>
          <w:szCs w:val="18"/>
          <w:highlight w:val="white"/>
        </w:rPr>
        <w:t xml:space="preserve">тавление сведений, составляющих врачебную тайну, без согласия Потребителя или его законного представителя допускается в случаях, установленных ст. 13 Федерального закона от 21.11.2011 г. № 323-ФЗ «Об основах охраны здоровья граждан в Российской Федерации».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8</w:t>
      </w:r>
      <w:r>
        <w:rPr>
          <w:rFonts w:ascii="Times New Roman" w:hAnsi="Times New Roman"/>
          <w:sz w:val="20"/>
          <w:szCs w:val="20"/>
          <w:highlight w:val="white"/>
        </w:rPr>
        <w:t xml:space="preserve">.3. </w:t>
      </w:r>
      <w:r>
        <w:rPr>
          <w:rFonts w:ascii="Times New Roman" w:hAnsi="Times New Roman"/>
          <w:sz w:val="18"/>
          <w:szCs w:val="18"/>
          <w:highlight w:val="white"/>
        </w:rPr>
        <w:t xml:space="preserve">Пациент</w:t>
      </w:r>
      <w:r>
        <w:rPr>
          <w:rFonts w:ascii="Times New Roman" w:hAnsi="Times New Roman"/>
          <w:sz w:val="18"/>
          <w:szCs w:val="18"/>
          <w:highlight w:val="white"/>
        </w:rPr>
        <w:t xml:space="preserve"> разрешает передачу персональных данных и сведений, составляющих врачебную тайну (в т.ч. результатов анализов) 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tbl>
      <w:tblPr>
        <w:tblW w:w="10915" w:type="dxa"/>
        <w:tblInd w:w="2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8363"/>
      </w:tblGrid>
      <w:tr>
        <w:trPr/>
        <w:tc>
          <w:tcPr>
            <w:tcBorders/>
            <w:tcW w:w="2552" w:type="dxa"/>
            <w:vAlign w:val="bottom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-11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путем направления на email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8363" w:type="dxa"/>
            <w:vAlign w:val="bottom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8</w:t>
      </w:r>
      <w:r>
        <w:rPr>
          <w:rFonts w:ascii="Times New Roman" w:hAnsi="Times New Roman"/>
          <w:sz w:val="18"/>
          <w:szCs w:val="18"/>
          <w:highlight w:val="white"/>
        </w:rPr>
        <w:t xml:space="preserve">.4. Настоящим, </w:t>
      </w:r>
      <w:r>
        <w:rPr>
          <w:rFonts w:ascii="Times New Roman" w:hAnsi="Times New Roman"/>
          <w:sz w:val="18"/>
          <w:szCs w:val="18"/>
          <w:highlight w:val="white"/>
        </w:rPr>
        <w:t xml:space="preserve">Пациент</w:t>
      </w:r>
      <w:r>
        <w:rPr>
          <w:rFonts w:ascii="Times New Roman" w:hAnsi="Times New Roman"/>
          <w:sz w:val="18"/>
          <w:szCs w:val="18"/>
          <w:highlight w:val="white"/>
        </w:rPr>
        <w:t xml:space="preserve"> выражает согласие </w:t>
      </w:r>
      <w:r>
        <w:rPr>
          <w:rFonts w:ascii="Times New Roman" w:hAnsi="Times New Roman"/>
          <w:sz w:val="18"/>
          <w:szCs w:val="18"/>
          <w:highlight w:val="white"/>
        </w:rPr>
        <w:t xml:space="preserve">ООО «</w:t>
      </w:r>
      <w:r>
        <w:rPr>
          <w:rFonts w:ascii="Times New Roman" w:hAnsi="Times New Roman"/>
          <w:sz w:val="18"/>
          <w:szCs w:val="18"/>
          <w:highlight w:val="white"/>
        </w:rPr>
        <w:t xml:space="preserve">ЦЕНТР СОВРЕМЕННЫХ ТЕХНОЛОГИЙ</w:t>
      </w:r>
      <w:r>
        <w:rPr>
          <w:rFonts w:ascii="Times New Roman" w:hAnsi="Times New Roman"/>
          <w:sz w:val="18"/>
          <w:szCs w:val="18"/>
          <w:highlight w:val="white"/>
        </w:rPr>
        <w:t xml:space="preserve">»</w:t>
      </w:r>
      <w:r>
        <w:rPr>
          <w:rFonts w:ascii="Times New Roman" w:hAnsi="Times New Roman"/>
          <w:sz w:val="18"/>
          <w:szCs w:val="18"/>
          <w:highlight w:val="white"/>
        </w:rPr>
        <w:t xml:space="preserve"> и его партнерам на 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tbl>
      <w:tblPr>
        <w:tblW w:w="10915" w:type="dxa"/>
        <w:tblInd w:w="25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685"/>
        <w:gridCol w:w="2977"/>
      </w:tblGrid>
      <w:tr>
        <w:trPr/>
        <w:tc>
          <w:tcPr>
            <w:gridSpan w:val="3"/>
            <w:tcBorders/>
            <w:tcW w:w="7938" w:type="dxa"/>
            <w:vAlign w:val="top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-11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информирование и получение путем направления SMS-сообщений на телефонный номер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Тел.: 8996  913  24  29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/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-11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а также e-mail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/>
            <w:tcW w:w="3685" w:type="dxa"/>
            <w:vAlign w:val="top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56"/>
              <w:pBdr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9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 Порядок разрешения споров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9</w:t>
      </w:r>
      <w:r>
        <w:rPr>
          <w:rFonts w:ascii="Times New Roman" w:hAnsi="Times New Roman"/>
          <w:sz w:val="20"/>
          <w:szCs w:val="20"/>
          <w:highlight w:val="white"/>
        </w:rPr>
        <w:t xml:space="preserve">.1. Стороны обязуются все возникающие разногласия решать путем переговоров.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9</w:t>
      </w:r>
      <w:r>
        <w:rPr>
          <w:rFonts w:ascii="Times New Roman" w:hAnsi="Times New Roman"/>
          <w:sz w:val="20"/>
          <w:szCs w:val="20"/>
          <w:highlight w:val="white"/>
        </w:rPr>
        <w:t xml:space="preserve">.2. При неурегулировании Сторонами возникших разногласий спор разрешается в судебном порядке.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9</w:t>
      </w:r>
      <w:r>
        <w:rPr>
          <w:rFonts w:ascii="Times New Roman" w:hAnsi="Times New Roman"/>
          <w:sz w:val="20"/>
          <w:szCs w:val="20"/>
          <w:highlight w:val="white"/>
        </w:rPr>
        <w:t xml:space="preserve">.3. Во всем остальном, не предусмотренном настоящим договором, Стороны руководствуются действующим законодательством.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10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 Срок действия договора и иные условия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10</w:t>
      </w:r>
      <w:r>
        <w:rPr>
          <w:rFonts w:ascii="Times New Roman" w:hAnsi="Times New Roman"/>
          <w:sz w:val="18"/>
          <w:szCs w:val="18"/>
          <w:highlight w:val="white"/>
        </w:rPr>
        <w:t xml:space="preserve">.1. Договор считается заключенным со дня его подписания и действует в течение 1 (одного) года. Если за один месяц до истечения с</w:t>
      </w:r>
      <w:r>
        <w:rPr>
          <w:rFonts w:ascii="Times New Roman" w:hAnsi="Times New Roman"/>
          <w:sz w:val="18"/>
          <w:szCs w:val="18"/>
          <w:highlight w:val="white"/>
        </w:rPr>
        <w:t xml:space="preserve">рока действия настоящего Договора, ни одна из Сторон не заявит в письменном виде о его расторжении, Договор признается продленным на прежних условиях сроком на один год. В порядке, установленном настоящим пунктом, Договор может продлеваться неограниченное </w:t>
      </w:r>
      <w:r>
        <w:rPr>
          <w:rFonts w:ascii="Times New Roman" w:hAnsi="Times New Roman"/>
          <w:sz w:val="18"/>
          <w:szCs w:val="18"/>
          <w:highlight w:val="white"/>
        </w:rPr>
        <w:t xml:space="preserve">количество</w:t>
      </w:r>
      <w:r>
        <w:rPr>
          <w:rFonts w:ascii="Times New Roman" w:hAnsi="Times New Roman"/>
          <w:sz w:val="18"/>
          <w:szCs w:val="18"/>
          <w:highlight w:val="white"/>
        </w:rPr>
        <w:t xml:space="preserve"> раз.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10</w:t>
      </w:r>
      <w:r>
        <w:rPr>
          <w:rFonts w:ascii="Times New Roman" w:hAnsi="Times New Roman"/>
          <w:sz w:val="20"/>
          <w:szCs w:val="20"/>
          <w:highlight w:val="white"/>
        </w:rPr>
        <w:t xml:space="preserve">.2. </w:t>
      </w:r>
      <w:r>
        <w:rPr>
          <w:rFonts w:ascii="Times New Roman" w:hAnsi="Times New Roman"/>
          <w:sz w:val="18"/>
          <w:szCs w:val="18"/>
          <w:highlight w:val="white"/>
        </w:rPr>
        <w:t xml:space="preserve">Срок оказания медицинской услуги определяется дато</w:t>
      </w:r>
      <w:r>
        <w:rPr>
          <w:rFonts w:ascii="Times New Roman" w:hAnsi="Times New Roman"/>
          <w:sz w:val="18"/>
          <w:szCs w:val="18"/>
          <w:highlight w:val="white"/>
        </w:rPr>
        <w:t xml:space="preserve">й и временем, необходимым для выполнения предусмотренных  регламентирующими медицинскую деятельность норма</w:t>
      </w:r>
      <w:r>
        <w:rPr>
          <w:rFonts w:ascii="Times New Roman" w:hAnsi="Times New Roman"/>
          <w:sz w:val="18"/>
          <w:szCs w:val="18"/>
          <w:highlight w:val="white"/>
        </w:rPr>
        <w:t xml:space="preserve">тивными документами, профилактических, диагностических и лечебных мероприятий. В случае длительного лечения, предполагающего этапность и составление медицинского плана, ориентировочные сроки фиксируются в медицинской карте или в дополнительных соглашениях.</w:t>
      </w:r>
      <w:r>
        <w:rPr>
          <w:rFonts w:ascii="Times New Roman" w:hAnsi="Times New Roman"/>
          <w:strike/>
          <w:sz w:val="20"/>
          <w:szCs w:val="20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trike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10</w:t>
      </w:r>
      <w:r>
        <w:rPr>
          <w:rFonts w:ascii="Times New Roman" w:hAnsi="Times New Roman"/>
          <w:sz w:val="20"/>
          <w:szCs w:val="20"/>
          <w:highlight w:val="white"/>
        </w:rPr>
        <w:t xml:space="preserve">.3. </w:t>
      </w:r>
      <w:r>
        <w:rPr>
          <w:rFonts w:ascii="Times New Roman" w:hAnsi="Times New Roman"/>
          <w:sz w:val="18"/>
          <w:szCs w:val="18"/>
          <w:highlight w:val="white"/>
        </w:rPr>
        <w:t xml:space="preserve">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trike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10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  <w:t xml:space="preserve">4</w:t>
      </w:r>
      <w:r>
        <w:rPr>
          <w:rFonts w:ascii="Times New Roman" w:hAnsi="Times New Roman"/>
          <w:sz w:val="18"/>
          <w:szCs w:val="18"/>
          <w:highlight w:val="white"/>
        </w:rPr>
        <w:t xml:space="preserve">. С момента заключения настоящего договора, все ранее заключенные договоры между Пациентом и Исполнителем считать расторгнутыми по соглашению сторон.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10</w:t>
      </w:r>
      <w:r>
        <w:rPr>
          <w:rFonts w:ascii="Times New Roman" w:hAnsi="Times New Roman"/>
          <w:sz w:val="18"/>
          <w:szCs w:val="18"/>
          <w:highlight w:val="white"/>
        </w:rPr>
        <w:t xml:space="preserve">.</w:t>
      </w:r>
      <w:r>
        <w:rPr>
          <w:rFonts w:ascii="Times New Roman" w:hAnsi="Times New Roman"/>
          <w:sz w:val="18"/>
          <w:szCs w:val="18"/>
          <w:highlight w:val="white"/>
        </w:rPr>
        <w:t xml:space="preserve">5</w:t>
      </w:r>
      <w:r>
        <w:rPr>
          <w:rFonts w:ascii="Times New Roman" w:hAnsi="Times New Roman"/>
          <w:sz w:val="18"/>
          <w:szCs w:val="18"/>
          <w:highlight w:val="white"/>
        </w:rPr>
        <w:t xml:space="preserve">. Договор составлен в двух экземплярах, имеющих одинаковую силу, по одному для каждой из Сторон.</w:t>
      </w:r>
      <w:r>
        <w:rPr>
          <w:rFonts w:ascii="Times New Roman" w:hAnsi="Times New Roman"/>
          <w:sz w:val="18"/>
          <w:szCs w:val="18"/>
          <w:highlight w:val="white"/>
        </w:rPr>
        <w:t xml:space="preserve"> При необходимости в трех экземплярах – для Заказчика.</w:t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sz w:val="18"/>
          <w:szCs w:val="18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 xml:space="preserve">11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sz w:val="18"/>
          <w:szCs w:val="18"/>
          <w:highlight w:val="white"/>
        </w:rPr>
        <w:t xml:space="preserve">Заключительные положения </w:t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11.1. При заключении настоящего договора Исполнителем предоставлена Потребителю (Заказчику) следующая информация: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 xml:space="preserve">- перечень платных медицинских услуг, соответствующих номенклатуре медицинских услуг, с указанием цен в рублях;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иная информация, предусмотренная Правилами предоставления медицинскими организациями платных медицинских услуг.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</w:t>
      </w:r>
      <w:r>
        <w:rPr>
          <w:rFonts w:ascii="Times New Roman" w:hAnsi="Times New Roman"/>
          <w:sz w:val="18"/>
          <w:szCs w:val="18"/>
          <w:highlight w:val="white"/>
        </w:rPr>
        <w:t xml:space="preserve"> перечень предоставляемых работ (услуг), составляющих медицинскую деятельность Исполнителя на основании выписки из реестра лицензий номер № Л041-01153-30/00367971 от 27 сентября 2021г., выдана Министерством здравоохранения Астраханской области, находящимся</w:t>
      </w:r>
      <w:r>
        <w:rPr>
          <w:rFonts w:ascii="Times New Roman" w:hAnsi="Times New Roman"/>
          <w:sz w:val="18"/>
          <w:szCs w:val="18"/>
          <w:highlight w:val="white"/>
        </w:rPr>
        <w:t xml:space="preserve"> по адресу: 414056, г. Астрахань, ул. Татищева, 16 “В”. Срок действия лицензии – бессрочно.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</w:t>
      </w:r>
      <w:r>
        <w:rPr>
          <w:rFonts w:ascii="Times New Roman" w:hAnsi="Times New Roman"/>
          <w:sz w:val="18"/>
          <w:szCs w:val="18"/>
          <w:highlight w:val="white"/>
        </w:rPr>
        <w:t xml:space="preserve">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</w:t>
      </w:r>
      <w:r>
        <w:rPr>
          <w:rFonts w:ascii="Times New Roman" w:hAnsi="Times New Roman"/>
          <w:sz w:val="18"/>
          <w:szCs w:val="18"/>
          <w:highlight w:val="white"/>
        </w:rPr>
        <w:t xml:space="preserve">бъеме, превышающем объем выполняемого стандарта медицинской помощи;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квалификации), графике работы Исполнителя;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другие сведения, относящиеся к предмету договора. 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</w:t>
      </w:r>
      <w:r>
        <w:rPr>
          <w:rFonts w:ascii="Times New Roman" w:hAnsi="Times New Roman"/>
          <w:sz w:val="18"/>
          <w:szCs w:val="18"/>
          <w:highlight w:val="white"/>
        </w:rPr>
        <w:t xml:space="preserve">1.2. 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</w:t>
      </w:r>
      <w:r>
        <w:rPr>
          <w:rFonts w:ascii="Times New Roman" w:hAnsi="Times New Roman"/>
          <w:sz w:val="18"/>
          <w:szCs w:val="18"/>
          <w:highlight w:val="white"/>
        </w:rPr>
        <w:t xml:space="preserve">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</w:t>
      </w:r>
      <w:r>
        <w:rPr>
          <w:rFonts w:ascii="Times New Roman" w:hAnsi="Times New Roman"/>
          <w:sz w:val="18"/>
          <w:szCs w:val="18"/>
          <w:highlight w:val="white"/>
        </w:rPr>
        <w:t xml:space="preserve">1.4. Потребитель уведомлен,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</w:t>
      </w:r>
      <w:r>
        <w:rPr>
          <w:rFonts w:ascii="Times New Roman" w:hAnsi="Times New Roman"/>
          <w:sz w:val="18"/>
          <w:szCs w:val="18"/>
          <w:highlight w:val="white"/>
        </w:rPr>
        <w:t xml:space="preserve">бности, и правила поведения пациента в медицинских организациях.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11.5. Исполнителем доведена до потребителя и (или) заказчика информация о том, что обращения (жалобы) могут направляться в электронном и письменном виде по следующим адресам: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Министерство здравоохранения Астраханской области. 414056, г. Астрахань, ул. Татищева, 16»В», e-mail:minzdrav@astrobl.ru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Территориальный орган Росздравнадзора по Астраханской области: 414040, г. Астрахань, ул. Коммунистическая, 27, e-mail: info@reg30.roszdravnadzor.gov.ru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- Территориальный фонд ОМС Астраханской области: 414040, г.Астрахань, ул. Победы, 41 e-mail: astfond@astranet.ru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11.6. 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11.7. Договор составлен в двух экземплярах, имеющих одинаковую силу, по одному для каждой из Сторон. При необходимости в трех экземплярах – для Заказчика.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highlight w:val="white"/>
          <w14:ligatures w14:val="non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11.8. Во всем, что не предусмотрено настоящим договором, Стороны руководствуются действующим законодательством РФ.</w:t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  <w:r>
        <w:rPr>
          <w:rFonts w:ascii="Times New Roman" w:hAnsi="Times New Roman"/>
          <w:sz w:val="18"/>
          <w:szCs w:val="18"/>
          <w:highlight w:val="white"/>
          <w14:ligatures w14:val="non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/>
          <w:b/>
          <w:bCs/>
          <w:sz w:val="20"/>
          <w:szCs w:val="20"/>
          <w:highlight w:val="white"/>
        </w:rPr>
      </w:r>
    </w:p>
    <w:p>
      <w:pPr>
        <w:pStyle w:val="856"/>
        <w:pBdr/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12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.Юридические адреса и банковские реквизиты сторон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/>
          <w:b/>
          <w:bCs/>
          <w:sz w:val="20"/>
          <w:szCs w:val="20"/>
          <w:highlight w:val="white"/>
        </w:rPr>
      </w:r>
    </w:p>
    <w:p>
      <w:pPr>
        <w:pStyle w:val="852"/>
        <w:pBdr/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tbl>
      <w:tblPr>
        <w:tblW w:w="10771" w:type="dxa"/>
        <w:tblInd w:w="534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73"/>
        <w:gridCol w:w="245"/>
        <w:gridCol w:w="3323"/>
        <w:gridCol w:w="233"/>
        <w:gridCol w:w="3526"/>
        <w:gridCol w:w="27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Исполнитель: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ООО «ЦЕНТР СОВРЕМЕННЫХ ТЕХНОЛОГИЙ»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Юр. адрес 414018, г. Астрахань, ул. Адмирала Нахимова,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д. 60Г, строение литер 25, кабинет 1А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ИНН 3025034575/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КПП 230801001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Р/с: 40702810205000003242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 Астраханском отделение №8625 ПАО Сбербанк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БИК 041203602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К/с: 30101810500000000602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Тел.+ 7 (8512) 52-00-00,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Е-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info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@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eye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30.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34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trike w:val="0"/>
                <w:sz w:val="18"/>
                <w:szCs w:val="18"/>
                <w:highlight w:val="white"/>
              </w:rPr>
              <w:t xml:space="preserve">Потребитель</w:t>
            </w:r>
            <w:r>
              <w:rPr>
                <w:rFonts w:ascii="Times New Roman" w:hAnsi="Times New Roman"/>
                <w:strike w:val="0"/>
                <w:sz w:val="18"/>
                <w:szCs w:val="18"/>
                <w:highlight w:val="white"/>
              </w:rPr>
              <w:t xml:space="preserve">:</w:t>
            </w:r>
            <w:r>
              <w:rPr>
                <w:rFonts w:ascii="Times New Roman" w:hAnsi="Times New Roman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trike w:val="0"/>
                <w:sz w:val="18"/>
                <w:szCs w:val="18"/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Заказчик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Администратор(на основании доверенности бн от 01.08.2023 года)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34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52"/>
        <w:pBdr/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pBdr/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10520" w:type="dxa"/>
        <w:tblInd w:w="534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4"/>
        <w:gridCol w:w="955"/>
        <w:gridCol w:w="1873"/>
        <w:gridCol w:w="276"/>
        <w:gridCol w:w="277"/>
        <w:gridCol w:w="955"/>
        <w:gridCol w:w="2194"/>
        <w:gridCol w:w="236"/>
        <w:gridCol w:w="236"/>
        <w:gridCol w:w="976"/>
        <w:gridCol w:w="2268"/>
      </w:tblGrid>
      <w:tr>
        <w:trPr/>
        <w:tc>
          <w:tcPr>
            <w:tcBorders/>
            <w:tcW w:w="274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55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873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/Чекалина Ю. Ю./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76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7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55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194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7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74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подпись</w:t>
            </w:r>
            <w:r>
              <w:rPr>
                <w:rFonts w:ascii="Times New Roman" w:hAnsi="Times New Roman"/>
                <w:i/>
                <w:sz w:val="14"/>
                <w:szCs w:val="14"/>
              </w:rPr>
            </w:r>
            <w:r>
              <w:rPr>
                <w:rFonts w:ascii="Times New Roman" w:hAnsi="Times New Roman"/>
                <w:i/>
                <w:sz w:val="14"/>
                <w:szCs w:val="14"/>
              </w:rPr>
            </w:r>
          </w:p>
        </w:tc>
        <w:tc>
          <w:tcPr>
            <w:tcBorders/>
            <w:tcW w:w="1873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6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7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подпись</w:t>
            </w:r>
            <w:r>
              <w:rPr>
                <w:rFonts w:ascii="Times New Roman" w:hAnsi="Times New Roman"/>
                <w:i/>
                <w:sz w:val="14"/>
                <w:szCs w:val="14"/>
              </w:rPr>
            </w:r>
            <w:r>
              <w:rPr>
                <w:rFonts w:ascii="Times New Roman" w:hAnsi="Times New Roman"/>
                <w:i/>
                <w:sz w:val="14"/>
                <w:szCs w:val="14"/>
              </w:rPr>
            </w:r>
          </w:p>
        </w:tc>
        <w:tc>
          <w:tcPr>
            <w:tcBorders/>
            <w:tcW w:w="2194" w:type="dxa"/>
            <w:vAlign w:val="bottom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6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52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erReference w:type="default" r:id="rId9"/>
      <w:footnotePr/>
      <w:endnotePr/>
      <w:type w:val="nextPage"/>
      <w:pgSz w:h="16838" w:orient="portrait" w:w="11906"/>
      <w:pgMar w:top="284" w:right="424" w:bottom="426" w:left="426" w:header="708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Franklin Gothic Book">
    <w:panose1 w:val="020B06030201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pBdr/>
      <w:spacing/>
      <w:ind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6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pBdr/>
      <w:spacing/>
      <w:ind w:left="720"/>
      <w:contextualSpacing w:val="true"/>
    </w:pPr>
  </w:style>
  <w:style w:type="paragraph" w:styleId="693">
    <w:name w:val="No Spacing"/>
    <w:uiPriority w:val="1"/>
    <w:qFormat/>
    <w:pPr>
      <w:pBdr/>
      <w:spacing w:after="0" w:before="0" w:line="240" w:lineRule="auto"/>
      <w:ind/>
    </w:pPr>
  </w:style>
  <w:style w:type="paragraph" w:styleId="694">
    <w:name w:val="Title"/>
    <w:basedOn w:val="852"/>
    <w:next w:val="852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>
    <w:name w:val="Title Char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7">
    <w:name w:val="Subtitle Char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pBdr/>
      <w:spacing/>
      <w:ind w:right="720" w:left="720"/>
    </w:pPr>
    <w:rPr>
      <w:i/>
    </w:rPr>
  </w:style>
  <w:style w:type="character" w:styleId="699">
    <w:name w:val="Quote Char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1">
    <w:name w:val="Intense Quote Char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852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Header Char"/>
    <w:link w:val="702"/>
    <w:uiPriority w:val="99"/>
    <w:pPr>
      <w:pBdr/>
      <w:spacing/>
      <w:ind/>
    </w:pPr>
  </w:style>
  <w:style w:type="paragraph" w:styleId="704">
    <w:name w:val="Footer"/>
    <w:basedOn w:val="852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>
    <w:name w:val="Footer Char"/>
    <w:link w:val="704"/>
    <w:uiPriority w:val="99"/>
    <w:pPr>
      <w:pBdr/>
      <w:spacing/>
      <w:ind/>
    </w:pPr>
  </w:style>
  <w:style w:type="paragraph" w:styleId="706">
    <w:name w:val="Caption"/>
    <w:basedOn w:val="852"/>
    <w:next w:val="8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  <w:pPr>
      <w:pBdr/>
      <w:spacing/>
      <w:ind/>
    </w:pPr>
  </w:style>
  <w:style w:type="table" w:styleId="70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next w:val="852"/>
    <w:link w:val="852"/>
    <w:qFormat/>
    <w:pPr>
      <w:pBdr/>
      <w:spacing w:after="160" w:line="259" w:lineRule="auto"/>
      <w:ind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semiHidden/>
    <w:unhideWhenUsed/>
    <w:pPr>
      <w:pBdr/>
      <w:spacing/>
      <w:ind/>
    </w:pPr>
  </w:style>
  <w:style w:type="table" w:styleId="854">
    <w:name w:val="Обычная таблица"/>
    <w:next w:val="854"/>
    <w:link w:val="852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5">
    <w:name w:val="Нет списка"/>
    <w:next w:val="855"/>
    <w:link w:val="852"/>
    <w:uiPriority w:val="99"/>
    <w:semiHidden/>
    <w:unhideWhenUsed/>
    <w:pPr>
      <w:pBdr/>
      <w:spacing/>
      <w:ind/>
    </w:pPr>
  </w:style>
  <w:style w:type="paragraph" w:styleId="856">
    <w:name w:val="Абзац списка"/>
    <w:basedOn w:val="852"/>
    <w:next w:val="856"/>
    <w:link w:val="852"/>
    <w:uiPriority w:val="34"/>
    <w:qFormat/>
    <w:pPr>
      <w:pBdr/>
      <w:spacing/>
      <w:ind w:left="720"/>
      <w:contextualSpacing w:val="true"/>
    </w:pPr>
  </w:style>
  <w:style w:type="table" w:styleId="857">
    <w:name w:val="Сетка таблицы"/>
    <w:basedOn w:val="854"/>
    <w:next w:val="857"/>
    <w:link w:val="852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8">
    <w:name w:val="Гиперссылка"/>
    <w:next w:val="858"/>
    <w:link w:val="852"/>
    <w:uiPriority w:val="99"/>
    <w:unhideWhenUsed/>
    <w:pPr>
      <w:pBdr/>
      <w:spacing/>
      <w:ind/>
    </w:pPr>
    <w:rPr>
      <w:color w:val="0563c1"/>
      <w:u w:val="single"/>
    </w:rPr>
  </w:style>
  <w:style w:type="paragraph" w:styleId="859">
    <w:name w:val="Верхний колонтитул"/>
    <w:basedOn w:val="852"/>
    <w:next w:val="859"/>
    <w:link w:val="86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0">
    <w:name w:val="Верхний колонтитул Знак"/>
    <w:next w:val="860"/>
    <w:link w:val="859"/>
    <w:uiPriority w:val="99"/>
    <w:pPr>
      <w:pBdr/>
      <w:spacing/>
      <w:ind/>
    </w:pPr>
    <w:rPr>
      <w:sz w:val="22"/>
      <w:szCs w:val="22"/>
      <w:lang w:eastAsia="en-US"/>
    </w:rPr>
  </w:style>
  <w:style w:type="paragraph" w:styleId="861">
    <w:name w:val="Нижний колонтитул"/>
    <w:basedOn w:val="852"/>
    <w:next w:val="861"/>
    <w:link w:val="86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2">
    <w:name w:val="Нижний колонтитул Знак"/>
    <w:next w:val="862"/>
    <w:link w:val="861"/>
    <w:uiPriority w:val="99"/>
    <w:pPr>
      <w:pBdr/>
      <w:spacing/>
      <w:ind/>
    </w:pPr>
    <w:rPr>
      <w:sz w:val="22"/>
      <w:szCs w:val="22"/>
      <w:lang w:eastAsia="en-US"/>
    </w:rPr>
  </w:style>
  <w:style w:type="paragraph" w:styleId="863">
    <w:name w:val="CRM_Обычный_Таблица"/>
    <w:next w:val="863"/>
    <w:link w:val="864"/>
    <w:pPr>
      <w:pBdr/>
      <w:spacing/>
      <w:ind/>
      <w:jc w:val="center"/>
    </w:pPr>
    <w:rPr>
      <w:rFonts w:ascii="Franklin Gothic Book" w:hAnsi="Franklin Gothic Book" w:eastAsia="Times New Roman"/>
      <w:lang w:val="en-US" w:eastAsia="ru-RU" w:bidi="ar-SA"/>
    </w:rPr>
  </w:style>
  <w:style w:type="character" w:styleId="864">
    <w:name w:val="CRM_Обычный_Таблица Знак"/>
    <w:next w:val="864"/>
    <w:link w:val="863"/>
    <w:pPr>
      <w:pBdr/>
      <w:spacing/>
      <w:ind/>
    </w:pPr>
    <w:rPr>
      <w:rFonts w:ascii="Franklin Gothic Book" w:hAnsi="Franklin Gothic Book" w:eastAsia="Times New Roman"/>
      <w:lang w:val="en-US"/>
    </w:rPr>
  </w:style>
  <w:style w:type="paragraph" w:styleId="865">
    <w:name w:val="ConsPlusNonformat"/>
    <w:basedOn w:val="852"/>
    <w:next w:val="865"/>
    <w:link w:val="852"/>
    <w:uiPriority w:val="99"/>
    <w:pPr>
      <w:widowControl w:val="false"/>
      <w:pBdr/>
      <w:spacing w:after="0" w:line="240" w:lineRule="auto"/>
      <w:ind/>
    </w:pPr>
    <w:rPr>
      <w:rFonts w:ascii="Courier New" w:hAnsi="Courier New" w:eastAsia="Arial" w:cs="Courier New"/>
      <w:sz w:val="20"/>
      <w:szCs w:val="20"/>
      <w:lang w:eastAsia="ru-RU"/>
    </w:rPr>
  </w:style>
  <w:style w:type="character" w:styleId="866" w:default="1">
    <w:name w:val="Default Paragraph Font"/>
    <w:uiPriority w:val="1"/>
    <w:semiHidden/>
    <w:unhideWhenUsed/>
    <w:pPr>
      <w:pBdr/>
      <w:spacing/>
      <w:ind/>
    </w:pPr>
  </w:style>
  <w:style w:type="numbering" w:styleId="867" w:default="1">
    <w:name w:val="No List"/>
    <w:uiPriority w:val="99"/>
    <w:semiHidden/>
    <w:unhideWhenUsed/>
    <w:pPr>
      <w:pBdr/>
      <w:spacing/>
      <w:ind/>
    </w:pPr>
  </w:style>
  <w:style w:type="table" w:styleId="86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9" w:customStyle="1">
    <w:name w:val="Normal (Web)"/>
    <w:basedOn w:val="714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revision>142</cp:revision>
  <dcterms:created xsi:type="dcterms:W3CDTF">2021-08-24T10:19:00Z</dcterms:created>
  <dcterms:modified xsi:type="dcterms:W3CDTF">2024-03-05T11:24:31Z</dcterms:modified>
  <cp:version>1048576</cp:version>
</cp:coreProperties>
</file>