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РЕКВИЗИТЫ КОНТРОЛЬНЫХ ОРГАНИЗАЦИЙ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Территориальный орган Росздравнадзора по Астраханской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8" w:tooltip="https://30reg.roszdravnadzor.gov.ru/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30reg.roszdravnadzor.gov.ru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Адрес: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г.Астрахань, ул. Коммунистическая, 27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Телефон: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8 (8512) 220-120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Горячая линия: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 (8512) 220-106 - для приема сообщений  по вопросам обращения лекарственных средств и медицинских изделий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(8512) 220-107 - для обращений о нарушениях оказания качественной медицинской помощи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Астраханской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9" w:tooltip="https://salutem-clinic.ru/company/nadzor/upravlenie-federalnoy-sluzhby-po-nadzoru-v-sfere-zashchity-prav-potrebiteley-i-blagopoluchiya-chelov/30.rospotrebnadzor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30.rospotrebnadzor.ru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Адрес: г.Астрахань, ул. Н. Островского, 138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Тел.: (8512) 50-14-10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 </w:t>
      </w:r>
      <w:hyperlink r:id="rId10" w:tooltip="30.rospotrebnadzor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30.rospotrebnadzor.ru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E-mail: </w:t>
      </w:r>
      <w:hyperlink r:id="rId11" w:tooltip="mailto:tu_rpn@astranet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tu_rpn@astranet.ru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Министерство здравоохранения Астраханской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12" w:tooltip="https://salutem-clinic.ru/company/nadzor/ministerstvo-zdravookhraneniya-astrakhanskoy-oblasti/www.minzdravao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www.minzdravao.ru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Адрес: г.Астрахань, ул. Татищева, 16 "В"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Тел/факс: (8512) 54-16-19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E-mail: </w:t>
      </w:r>
      <w:hyperlink r:id="rId13" w:tooltip="mailto:adm@minzdravao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adm@minzdravao.ru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Почтовый адрес министерства: 414056, г. Астрахань, ул. Татищева, д. 16 «В». Телефон: (8512) 54-92-30; факс (8512) 54-16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-19, (8512) 54-00-23, 54-16-07.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Контактные телефоны: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-сектор по работе с обращениями граждан: 54-16-07, 54-00-23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30reg.roszdravnadzor.gov.ru/" TargetMode="External"/><Relationship Id="rId9" Type="http://schemas.openxmlformats.org/officeDocument/2006/relationships/hyperlink" Target="https://salutem-clinic.ru/company/nadzor/upravlenie-federalnoy-sluzhby-po-nadzoru-v-sfere-zashchity-prav-potrebiteley-i-blagopoluchiya-chelov/30.rospotrebnadzor.ru" TargetMode="External"/><Relationship Id="rId10" Type="http://schemas.openxmlformats.org/officeDocument/2006/relationships/hyperlink" Target="http://www.30.rospotrebnadzor.ru/" TargetMode="External"/><Relationship Id="rId11" Type="http://schemas.openxmlformats.org/officeDocument/2006/relationships/hyperlink" Target="mailto:tu_rpn@astranet.ru" TargetMode="External"/><Relationship Id="rId12" Type="http://schemas.openxmlformats.org/officeDocument/2006/relationships/hyperlink" Target="https://salutem-clinic.ru/company/nadzor/ministerstvo-zdravookhraneniya-astrakhanskoy-oblasti/www.minzdravao.ru" TargetMode="External"/><Relationship Id="rId13" Type="http://schemas.openxmlformats.org/officeDocument/2006/relationships/hyperlink" Target="mailto:adm@minzdrav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2024-03-04T04:18:55Z</dcterms:modified>
</cp:coreProperties>
</file>